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黑体"/>
          <w:color w:val="000000"/>
          <w:sz w:val="32"/>
          <w:szCs w:val="32"/>
        </w:rPr>
      </w:pPr>
      <w:r>
        <w:rPr>
          <w:rFonts w:ascii="Times New Roman" w:hAnsi="Times New Roman" w:eastAsia="黑体"/>
          <w:color w:val="000000"/>
          <w:kern w:val="0"/>
          <w:sz w:val="32"/>
          <w:szCs w:val="32"/>
        </w:rPr>
        <w:t>附件</w:t>
      </w:r>
      <w:r>
        <w:rPr>
          <w:rFonts w:hint="eastAsia" w:ascii="Times New Roman" w:hAnsi="Times New Roman" w:eastAsia="黑体"/>
          <w:color w:val="000000"/>
          <w:kern w:val="0"/>
          <w:sz w:val="32"/>
          <w:szCs w:val="32"/>
        </w:rPr>
        <w:t>4</w:t>
      </w:r>
    </w:p>
    <w:p>
      <w:pPr>
        <w:widowControl/>
        <w:wordWrap w:val="0"/>
        <w:spacing w:after="156" w:afterLines="50"/>
        <w:jc w:val="center"/>
        <w:rPr>
          <w:rFonts w:ascii="Times New Roman" w:hAnsi="Times New Roman" w:eastAsia="方正小标宋简体"/>
          <w:color w:val="000000"/>
          <w:kern w:val="0"/>
          <w:sz w:val="36"/>
          <w:szCs w:val="36"/>
        </w:rPr>
      </w:pPr>
      <w:bookmarkStart w:id="0" w:name="_GoBack"/>
      <w:r>
        <w:rPr>
          <w:rFonts w:ascii="Times New Roman" w:hAnsi="Times New Roman" w:eastAsia="方正小标宋简体"/>
          <w:color w:val="000000"/>
          <w:kern w:val="0"/>
          <w:sz w:val="36"/>
          <w:szCs w:val="36"/>
        </w:rPr>
        <w:t>全国文明渔港创建示范评估指标</w:t>
      </w:r>
      <w:bookmarkEnd w:id="0"/>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200"/>
        <w:gridCol w:w="4264"/>
        <w:gridCol w:w="412"/>
        <w:gridCol w:w="750"/>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94" w:type="dxa"/>
            <w:noWrap w:val="0"/>
            <w:vAlign w:val="center"/>
          </w:tcPr>
          <w:p>
            <w:pPr>
              <w:spacing w:line="360" w:lineRule="exact"/>
              <w:jc w:val="center"/>
              <w:textAlignment w:val="center"/>
              <w:rPr>
                <w:rFonts w:hint="eastAsia" w:ascii="Times New Roman" w:hAnsi="Times New Roman" w:cs="宋体"/>
                <w:b/>
                <w:bCs/>
                <w:color w:val="000000"/>
                <w:kern w:val="0"/>
                <w:sz w:val="24"/>
                <w:szCs w:val="24"/>
                <w:lang w:bidi="ar"/>
              </w:rPr>
            </w:pPr>
            <w:r>
              <w:rPr>
                <w:rFonts w:hint="eastAsia" w:ascii="Times New Roman" w:hAnsi="Times New Roman" w:cs="宋体"/>
                <w:b/>
                <w:bCs/>
                <w:color w:val="000000"/>
                <w:kern w:val="0"/>
                <w:sz w:val="24"/>
                <w:szCs w:val="24"/>
                <w:lang w:bidi="ar"/>
              </w:rPr>
              <w:t>一级指标</w:t>
            </w:r>
          </w:p>
        </w:tc>
        <w:tc>
          <w:tcPr>
            <w:tcW w:w="1200" w:type="dxa"/>
            <w:noWrap w:val="0"/>
            <w:vAlign w:val="center"/>
          </w:tcPr>
          <w:p>
            <w:pPr>
              <w:spacing w:line="360" w:lineRule="exact"/>
              <w:jc w:val="center"/>
              <w:textAlignment w:val="center"/>
              <w:rPr>
                <w:rFonts w:hint="eastAsia" w:ascii="Times New Roman" w:hAnsi="Times New Roman" w:cs="宋体"/>
                <w:b/>
                <w:bCs/>
                <w:color w:val="000000"/>
                <w:kern w:val="0"/>
                <w:sz w:val="24"/>
                <w:szCs w:val="24"/>
                <w:lang w:bidi="ar"/>
              </w:rPr>
            </w:pPr>
            <w:r>
              <w:rPr>
                <w:rFonts w:hint="eastAsia" w:ascii="Times New Roman" w:hAnsi="Times New Roman" w:cs="宋体"/>
                <w:b/>
                <w:bCs/>
                <w:color w:val="000000"/>
                <w:kern w:val="0"/>
                <w:sz w:val="24"/>
                <w:szCs w:val="24"/>
                <w:lang w:bidi="ar"/>
              </w:rPr>
              <w:t>二级指标</w:t>
            </w:r>
          </w:p>
        </w:tc>
        <w:tc>
          <w:tcPr>
            <w:tcW w:w="4264" w:type="dxa"/>
            <w:noWrap w:val="0"/>
            <w:vAlign w:val="center"/>
          </w:tcPr>
          <w:p>
            <w:pPr>
              <w:spacing w:line="360" w:lineRule="exact"/>
              <w:jc w:val="center"/>
              <w:textAlignment w:val="center"/>
              <w:rPr>
                <w:rFonts w:hint="eastAsia" w:ascii="Times New Roman" w:hAnsi="Times New Roman" w:cs="宋体"/>
                <w:b/>
                <w:bCs/>
                <w:color w:val="000000"/>
                <w:kern w:val="0"/>
                <w:sz w:val="24"/>
                <w:szCs w:val="24"/>
                <w:lang w:bidi="ar"/>
              </w:rPr>
            </w:pPr>
            <w:r>
              <w:rPr>
                <w:rFonts w:hint="eastAsia" w:ascii="Times New Roman" w:hAnsi="Times New Roman" w:cs="宋体"/>
                <w:b/>
                <w:bCs/>
                <w:color w:val="000000"/>
                <w:kern w:val="0"/>
                <w:sz w:val="24"/>
                <w:szCs w:val="24"/>
                <w:lang w:bidi="ar"/>
              </w:rPr>
              <w:t>三级指标</w:t>
            </w:r>
          </w:p>
        </w:tc>
        <w:tc>
          <w:tcPr>
            <w:tcW w:w="412" w:type="dxa"/>
            <w:noWrap w:val="0"/>
            <w:vAlign w:val="center"/>
          </w:tcPr>
          <w:p>
            <w:pPr>
              <w:spacing w:line="360" w:lineRule="exact"/>
              <w:jc w:val="center"/>
              <w:textAlignment w:val="center"/>
              <w:rPr>
                <w:rFonts w:hint="eastAsia" w:ascii="Times New Roman" w:hAnsi="Times New Roman" w:cs="宋体"/>
                <w:b/>
                <w:bCs/>
                <w:color w:val="000000"/>
                <w:kern w:val="0"/>
                <w:sz w:val="24"/>
                <w:szCs w:val="24"/>
                <w:lang w:bidi="ar"/>
              </w:rPr>
            </w:pPr>
            <w:r>
              <w:rPr>
                <w:rFonts w:hint="eastAsia" w:ascii="Times New Roman" w:hAnsi="Times New Roman" w:cs="宋体"/>
                <w:b/>
                <w:bCs/>
                <w:color w:val="000000"/>
                <w:kern w:val="0"/>
                <w:sz w:val="24"/>
                <w:szCs w:val="24"/>
                <w:lang w:bidi="ar"/>
              </w:rPr>
              <w:t>分值</w:t>
            </w:r>
          </w:p>
        </w:tc>
        <w:tc>
          <w:tcPr>
            <w:tcW w:w="750" w:type="dxa"/>
            <w:noWrap w:val="0"/>
            <w:vAlign w:val="center"/>
          </w:tcPr>
          <w:p>
            <w:pPr>
              <w:spacing w:line="360" w:lineRule="exact"/>
              <w:jc w:val="center"/>
              <w:textAlignment w:val="center"/>
              <w:rPr>
                <w:rFonts w:hint="eastAsia" w:ascii="Times New Roman" w:hAnsi="Times New Roman" w:cs="宋体"/>
                <w:b/>
                <w:bCs/>
                <w:color w:val="000000"/>
                <w:kern w:val="0"/>
                <w:sz w:val="24"/>
                <w:szCs w:val="24"/>
                <w:lang w:bidi="ar"/>
              </w:rPr>
            </w:pPr>
            <w:r>
              <w:rPr>
                <w:rFonts w:hint="eastAsia" w:ascii="Times New Roman" w:hAnsi="Times New Roman" w:cs="宋体"/>
                <w:b/>
                <w:bCs/>
                <w:color w:val="000000"/>
                <w:kern w:val="0"/>
                <w:sz w:val="24"/>
                <w:szCs w:val="24"/>
                <w:lang w:bidi="ar"/>
              </w:rPr>
              <w:t>县级</w:t>
            </w:r>
          </w:p>
          <w:p>
            <w:pPr>
              <w:spacing w:line="360" w:lineRule="exact"/>
              <w:jc w:val="center"/>
              <w:textAlignment w:val="center"/>
              <w:rPr>
                <w:rFonts w:hint="eastAsia" w:ascii="Times New Roman" w:hAnsi="Times New Roman" w:cs="宋体"/>
                <w:b/>
                <w:bCs/>
                <w:color w:val="000000"/>
                <w:kern w:val="0"/>
                <w:sz w:val="24"/>
                <w:szCs w:val="24"/>
                <w:lang w:bidi="ar"/>
              </w:rPr>
            </w:pPr>
            <w:r>
              <w:rPr>
                <w:rFonts w:hint="eastAsia" w:ascii="Times New Roman" w:hAnsi="Times New Roman" w:cs="宋体"/>
                <w:b/>
                <w:bCs/>
                <w:color w:val="000000"/>
                <w:kern w:val="0"/>
                <w:sz w:val="24"/>
                <w:szCs w:val="24"/>
                <w:lang w:bidi="ar"/>
              </w:rPr>
              <w:t>自评</w:t>
            </w:r>
          </w:p>
        </w:tc>
        <w:tc>
          <w:tcPr>
            <w:tcW w:w="763" w:type="dxa"/>
            <w:noWrap w:val="0"/>
            <w:vAlign w:val="center"/>
          </w:tcPr>
          <w:p>
            <w:pPr>
              <w:spacing w:line="360" w:lineRule="exact"/>
              <w:jc w:val="center"/>
              <w:textAlignment w:val="center"/>
              <w:rPr>
                <w:rFonts w:hint="eastAsia" w:ascii="Times New Roman" w:hAnsi="Times New Roman" w:cs="宋体"/>
                <w:b/>
                <w:bCs/>
                <w:color w:val="000000"/>
                <w:kern w:val="0"/>
                <w:sz w:val="24"/>
                <w:szCs w:val="24"/>
                <w:lang w:bidi="ar"/>
              </w:rPr>
            </w:pPr>
            <w:r>
              <w:rPr>
                <w:rFonts w:hint="eastAsia" w:ascii="Times New Roman" w:hAnsi="Times New Roman" w:cs="宋体"/>
                <w:b/>
                <w:bCs/>
                <w:color w:val="000000"/>
                <w:kern w:val="0"/>
                <w:sz w:val="24"/>
                <w:szCs w:val="24"/>
                <w:lang w:bidi="ar"/>
              </w:rPr>
              <w:t>省级</w:t>
            </w:r>
          </w:p>
          <w:p>
            <w:pPr>
              <w:spacing w:line="360" w:lineRule="exact"/>
              <w:jc w:val="center"/>
              <w:textAlignment w:val="center"/>
              <w:rPr>
                <w:rFonts w:hint="eastAsia" w:ascii="Times New Roman" w:hAnsi="Times New Roman" w:cs="宋体"/>
                <w:b/>
                <w:bCs/>
                <w:color w:val="000000"/>
                <w:kern w:val="0"/>
                <w:sz w:val="24"/>
                <w:szCs w:val="24"/>
                <w:lang w:bidi="ar"/>
              </w:rPr>
            </w:pPr>
            <w:r>
              <w:rPr>
                <w:rFonts w:hint="eastAsia" w:ascii="Times New Roman" w:hAnsi="Times New Roman" w:cs="宋体"/>
                <w:b/>
                <w:bCs/>
                <w:color w:val="000000"/>
                <w:kern w:val="0"/>
                <w:sz w:val="24"/>
                <w:szCs w:val="24"/>
                <w:lang w:bidi="ar"/>
              </w:rPr>
              <w:t>初评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restart"/>
            <w:noWrap w:val="0"/>
            <w:vAlign w:val="center"/>
          </w:tcPr>
          <w:p>
            <w:pPr>
              <w:widowControl/>
              <w:spacing w:line="360" w:lineRule="exact"/>
              <w:jc w:val="center"/>
              <w:rPr>
                <w:rFonts w:hint="eastAsia" w:ascii="Times New Roman" w:hAnsi="Times New Roman" w:cs="宋体"/>
                <w:b/>
                <w:bCs/>
                <w:color w:val="000000"/>
                <w:kern w:val="0"/>
                <w:sz w:val="24"/>
                <w:szCs w:val="24"/>
              </w:rPr>
            </w:pPr>
            <w:r>
              <w:rPr>
                <w:rFonts w:hint="eastAsia" w:ascii="Times New Roman" w:hAnsi="Times New Roman" w:cs="宋体"/>
                <w:b/>
                <w:bCs/>
                <w:color w:val="000000"/>
                <w:kern w:val="0"/>
                <w:sz w:val="24"/>
                <w:szCs w:val="24"/>
              </w:rPr>
              <w:t>规划建设</w:t>
            </w:r>
          </w:p>
          <w:p>
            <w:pPr>
              <w:widowControl/>
              <w:spacing w:line="360" w:lineRule="exact"/>
              <w:jc w:val="center"/>
              <w:rPr>
                <w:rFonts w:hint="eastAsia" w:ascii="Times New Roman" w:hAnsi="Times New Roman" w:cs="宋体"/>
                <w:b/>
                <w:bCs/>
                <w:color w:val="000000"/>
                <w:kern w:val="0"/>
                <w:sz w:val="24"/>
                <w:szCs w:val="24"/>
              </w:rPr>
            </w:pPr>
            <w:r>
              <w:rPr>
                <w:rFonts w:hint="eastAsia" w:ascii="Times New Roman" w:hAnsi="Times New Roman" w:cs="宋体"/>
                <w:b/>
                <w:bCs/>
                <w:color w:val="000000"/>
                <w:kern w:val="0"/>
                <w:sz w:val="24"/>
                <w:szCs w:val="24"/>
              </w:rPr>
              <w:t>（25分）</w:t>
            </w:r>
          </w:p>
        </w:tc>
        <w:tc>
          <w:tcPr>
            <w:tcW w:w="1200" w:type="dxa"/>
            <w:vMerge w:val="restart"/>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渔港规划</w:t>
            </w:r>
          </w:p>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（7分）</w:t>
            </w: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有渔港建设批文、规划</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1</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渔港建设科学，符合规划要求</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2</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渔港建设验收手续齐全</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1</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渔港所有权、经营权和管理权清晰</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2</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渔港港界划分明确</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1</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restart"/>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基础设施</w:t>
            </w:r>
          </w:p>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（5分）</w:t>
            </w: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港池航道管理规范，通航秩序良好</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2</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港池航道通畅，无障碍物、无明显淤积</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1</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港区主要道路硬化</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1</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港区道路畅通，无明显堆放物</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1</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restart"/>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安全设施</w:t>
            </w:r>
          </w:p>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（7分）</w:t>
            </w: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港区配有消防设施</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2</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消防设施运行良好</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1</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有消防船艇</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1</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港区航标设置齐全</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2</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航标工作正常</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1</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restart"/>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监控设施</w:t>
            </w:r>
          </w:p>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（6分）</w:t>
            </w: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有渔港视频监控系统</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2</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渔港视频监控系统运行良好</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1</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有渔船进出港电子识别系统</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2</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tcBorders>
              <w:bottom w:val="single" w:color="auto" w:sz="4" w:space="0"/>
            </w:tcBorders>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tcBorders>
              <w:bottom w:val="single" w:color="auto" w:sz="4" w:space="0"/>
            </w:tcBorders>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tcBorders>
              <w:bottom w:val="single" w:color="auto" w:sz="4" w:space="0"/>
            </w:tcBorders>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渔船进出港电子识别系统运行良好</w:t>
            </w:r>
          </w:p>
        </w:tc>
        <w:tc>
          <w:tcPr>
            <w:tcW w:w="412" w:type="dxa"/>
            <w:tcBorders>
              <w:bottom w:val="single" w:color="auto" w:sz="4" w:space="0"/>
            </w:tcBorders>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1</w:t>
            </w:r>
          </w:p>
        </w:tc>
        <w:tc>
          <w:tcPr>
            <w:tcW w:w="750" w:type="dxa"/>
            <w:tcBorders>
              <w:bottom w:val="single" w:color="auto" w:sz="4" w:space="0"/>
            </w:tcBorders>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tcBorders>
              <w:bottom w:val="single" w:color="auto" w:sz="4" w:space="0"/>
            </w:tcBorders>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Times New Roman" w:hAnsi="Times New Roman" w:cs="宋体"/>
                <w:b/>
                <w:bCs/>
                <w:color w:val="000000"/>
                <w:kern w:val="0"/>
                <w:sz w:val="24"/>
                <w:szCs w:val="24"/>
              </w:rPr>
            </w:pPr>
            <w:r>
              <w:rPr>
                <w:rFonts w:hint="eastAsia" w:ascii="Times New Roman" w:hAnsi="Times New Roman" w:cs="宋体"/>
                <w:b/>
                <w:bCs/>
                <w:color w:val="000000"/>
                <w:kern w:val="0"/>
                <w:sz w:val="24"/>
                <w:szCs w:val="24"/>
              </w:rPr>
              <w:t>港章制度</w:t>
            </w:r>
          </w:p>
          <w:p>
            <w:pPr>
              <w:widowControl/>
              <w:spacing w:line="360" w:lineRule="exact"/>
              <w:jc w:val="center"/>
              <w:rPr>
                <w:rFonts w:hint="eastAsia" w:ascii="Times New Roman" w:hAnsi="Times New Roman" w:cs="宋体"/>
                <w:b/>
                <w:bCs/>
                <w:color w:val="000000"/>
                <w:kern w:val="0"/>
                <w:sz w:val="24"/>
                <w:szCs w:val="24"/>
              </w:rPr>
            </w:pPr>
            <w:r>
              <w:rPr>
                <w:rFonts w:hint="eastAsia" w:ascii="Times New Roman" w:hAnsi="Times New Roman" w:cs="宋体"/>
                <w:b/>
                <w:bCs/>
                <w:color w:val="000000"/>
                <w:kern w:val="0"/>
                <w:sz w:val="24"/>
                <w:szCs w:val="24"/>
              </w:rPr>
              <w:t>（32分）</w:t>
            </w:r>
          </w:p>
        </w:tc>
        <w:tc>
          <w:tcPr>
            <w:tcW w:w="12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渔港港章</w:t>
            </w:r>
          </w:p>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（5分）</w:t>
            </w:r>
          </w:p>
        </w:tc>
        <w:tc>
          <w:tcPr>
            <w:tcW w:w="4264"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lef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有渔港港章</w:t>
            </w:r>
          </w:p>
        </w:tc>
        <w:tc>
          <w:tcPr>
            <w:tcW w:w="412"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2</w:t>
            </w:r>
          </w:p>
        </w:tc>
        <w:tc>
          <w:tcPr>
            <w:tcW w:w="750"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center"/>
              <w:rPr>
                <w:rFonts w:hint="eastAsia" w:ascii="Times New Roman" w:hAnsi="Times New Roman" w:cs="宋体"/>
                <w:color w:val="000000"/>
                <w:kern w:val="0"/>
                <w:sz w:val="24"/>
                <w:szCs w:val="24"/>
              </w:rPr>
            </w:pPr>
          </w:p>
        </w:tc>
        <w:tc>
          <w:tcPr>
            <w:tcW w:w="763"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lef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港章适用性强</w:t>
            </w:r>
          </w:p>
        </w:tc>
        <w:tc>
          <w:tcPr>
            <w:tcW w:w="412"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3</w:t>
            </w:r>
          </w:p>
        </w:tc>
        <w:tc>
          <w:tcPr>
            <w:tcW w:w="750"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center"/>
              <w:rPr>
                <w:rFonts w:hint="eastAsia" w:ascii="Times New Roman" w:hAnsi="Times New Roman" w:cs="宋体"/>
                <w:color w:val="000000"/>
                <w:kern w:val="0"/>
                <w:sz w:val="24"/>
                <w:szCs w:val="24"/>
              </w:rPr>
            </w:pPr>
          </w:p>
        </w:tc>
        <w:tc>
          <w:tcPr>
            <w:tcW w:w="763"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经营管理</w:t>
            </w:r>
          </w:p>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（4分）</w:t>
            </w:r>
          </w:p>
        </w:tc>
        <w:tc>
          <w:tcPr>
            <w:tcW w:w="4264"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lef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有健全的经营管理制度</w:t>
            </w:r>
          </w:p>
        </w:tc>
        <w:tc>
          <w:tcPr>
            <w:tcW w:w="412"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2</w:t>
            </w:r>
          </w:p>
        </w:tc>
        <w:tc>
          <w:tcPr>
            <w:tcW w:w="750"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center"/>
              <w:rPr>
                <w:rFonts w:hint="eastAsia" w:ascii="Times New Roman" w:hAnsi="Times New Roman" w:cs="宋体"/>
                <w:color w:val="000000"/>
                <w:kern w:val="0"/>
                <w:sz w:val="24"/>
                <w:szCs w:val="24"/>
              </w:rPr>
            </w:pPr>
          </w:p>
        </w:tc>
        <w:tc>
          <w:tcPr>
            <w:tcW w:w="763"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lef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制度执行良好</w:t>
            </w:r>
          </w:p>
        </w:tc>
        <w:tc>
          <w:tcPr>
            <w:tcW w:w="412"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2</w:t>
            </w:r>
          </w:p>
        </w:tc>
        <w:tc>
          <w:tcPr>
            <w:tcW w:w="750"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center"/>
              <w:rPr>
                <w:rFonts w:hint="eastAsia" w:ascii="Times New Roman" w:hAnsi="Times New Roman" w:cs="宋体"/>
                <w:color w:val="000000"/>
                <w:kern w:val="0"/>
                <w:sz w:val="24"/>
                <w:szCs w:val="24"/>
              </w:rPr>
            </w:pPr>
          </w:p>
        </w:tc>
        <w:tc>
          <w:tcPr>
            <w:tcW w:w="763"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安全管理</w:t>
            </w:r>
          </w:p>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（9分）</w:t>
            </w:r>
          </w:p>
        </w:tc>
        <w:tc>
          <w:tcPr>
            <w:tcW w:w="4264"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lef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安全生产责任明确</w:t>
            </w:r>
          </w:p>
        </w:tc>
        <w:tc>
          <w:tcPr>
            <w:tcW w:w="412"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1</w:t>
            </w:r>
          </w:p>
        </w:tc>
        <w:tc>
          <w:tcPr>
            <w:tcW w:w="750"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center"/>
              <w:rPr>
                <w:rFonts w:hint="eastAsia" w:ascii="Times New Roman" w:hAnsi="Times New Roman" w:cs="宋体"/>
                <w:color w:val="000000"/>
                <w:kern w:val="0"/>
                <w:sz w:val="24"/>
                <w:szCs w:val="24"/>
              </w:rPr>
            </w:pPr>
          </w:p>
        </w:tc>
        <w:tc>
          <w:tcPr>
            <w:tcW w:w="763"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lef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渔港经营管理机构与经营企业、个人等签订安全生产责任状，履职良好</w:t>
            </w:r>
          </w:p>
        </w:tc>
        <w:tc>
          <w:tcPr>
            <w:tcW w:w="412"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1</w:t>
            </w:r>
          </w:p>
        </w:tc>
        <w:tc>
          <w:tcPr>
            <w:tcW w:w="750"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center"/>
              <w:rPr>
                <w:rFonts w:hint="eastAsia" w:ascii="Times New Roman" w:hAnsi="Times New Roman" w:cs="宋体"/>
                <w:color w:val="000000"/>
                <w:kern w:val="0"/>
                <w:sz w:val="24"/>
                <w:szCs w:val="24"/>
              </w:rPr>
            </w:pPr>
          </w:p>
        </w:tc>
        <w:tc>
          <w:tcPr>
            <w:tcW w:w="763"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lef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有安全生产检查制度</w:t>
            </w:r>
          </w:p>
        </w:tc>
        <w:tc>
          <w:tcPr>
            <w:tcW w:w="412"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2</w:t>
            </w:r>
          </w:p>
        </w:tc>
        <w:tc>
          <w:tcPr>
            <w:tcW w:w="750"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center"/>
              <w:rPr>
                <w:rFonts w:hint="eastAsia" w:ascii="Times New Roman" w:hAnsi="Times New Roman" w:cs="宋体"/>
                <w:color w:val="000000"/>
                <w:kern w:val="0"/>
                <w:sz w:val="24"/>
                <w:szCs w:val="24"/>
              </w:rPr>
            </w:pPr>
          </w:p>
        </w:tc>
        <w:tc>
          <w:tcPr>
            <w:tcW w:w="763"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lef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定期开展安全生产检查</w:t>
            </w:r>
          </w:p>
        </w:tc>
        <w:tc>
          <w:tcPr>
            <w:tcW w:w="412"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2</w:t>
            </w:r>
          </w:p>
        </w:tc>
        <w:tc>
          <w:tcPr>
            <w:tcW w:w="750"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center"/>
              <w:rPr>
                <w:rFonts w:hint="eastAsia" w:ascii="Times New Roman" w:hAnsi="Times New Roman" w:cs="宋体"/>
                <w:color w:val="000000"/>
                <w:kern w:val="0"/>
                <w:sz w:val="24"/>
                <w:szCs w:val="24"/>
              </w:rPr>
            </w:pPr>
          </w:p>
        </w:tc>
        <w:tc>
          <w:tcPr>
            <w:tcW w:w="763"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lef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建立安全生产检查台账，及时督促整改</w:t>
            </w:r>
          </w:p>
        </w:tc>
        <w:tc>
          <w:tcPr>
            <w:tcW w:w="412"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3</w:t>
            </w:r>
          </w:p>
        </w:tc>
        <w:tc>
          <w:tcPr>
            <w:tcW w:w="750"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center"/>
              <w:rPr>
                <w:rFonts w:hint="eastAsia" w:ascii="Times New Roman" w:hAnsi="Times New Roman" w:cs="宋体"/>
                <w:color w:val="000000"/>
                <w:kern w:val="0"/>
                <w:sz w:val="24"/>
                <w:szCs w:val="24"/>
              </w:rPr>
            </w:pPr>
          </w:p>
        </w:tc>
        <w:tc>
          <w:tcPr>
            <w:tcW w:w="763"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进出港</w:t>
            </w:r>
          </w:p>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管理</w:t>
            </w:r>
          </w:p>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（6分）</w:t>
            </w:r>
          </w:p>
        </w:tc>
        <w:tc>
          <w:tcPr>
            <w:tcW w:w="4264"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lef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有渔船进出港报告工作制度</w:t>
            </w:r>
          </w:p>
        </w:tc>
        <w:tc>
          <w:tcPr>
            <w:tcW w:w="412"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2</w:t>
            </w:r>
          </w:p>
        </w:tc>
        <w:tc>
          <w:tcPr>
            <w:tcW w:w="750"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center"/>
              <w:rPr>
                <w:rFonts w:hint="eastAsia" w:ascii="Times New Roman" w:hAnsi="Times New Roman" w:cs="宋体"/>
                <w:color w:val="000000"/>
                <w:kern w:val="0"/>
                <w:sz w:val="24"/>
                <w:szCs w:val="24"/>
              </w:rPr>
            </w:pPr>
          </w:p>
        </w:tc>
        <w:tc>
          <w:tcPr>
            <w:tcW w:w="763"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渔船进出港报告率90%以上（4分），80%以上（3分），60%以上（2分）</w:t>
            </w:r>
          </w:p>
        </w:tc>
        <w:tc>
          <w:tcPr>
            <w:tcW w:w="41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4</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应急管理</w:t>
            </w:r>
          </w:p>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（8分）</w:t>
            </w:r>
          </w:p>
        </w:tc>
        <w:tc>
          <w:tcPr>
            <w:tcW w:w="4264"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lef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有安全生产事故应急预案</w:t>
            </w:r>
          </w:p>
        </w:tc>
        <w:tc>
          <w:tcPr>
            <w:tcW w:w="412"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2</w:t>
            </w:r>
          </w:p>
        </w:tc>
        <w:tc>
          <w:tcPr>
            <w:tcW w:w="750"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center"/>
              <w:rPr>
                <w:rFonts w:hint="eastAsia" w:ascii="Times New Roman" w:hAnsi="Times New Roman" w:cs="宋体"/>
                <w:color w:val="000000"/>
                <w:kern w:val="0"/>
                <w:sz w:val="24"/>
                <w:szCs w:val="24"/>
              </w:rPr>
            </w:pPr>
          </w:p>
        </w:tc>
        <w:tc>
          <w:tcPr>
            <w:tcW w:w="763"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lef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有渔港水域水污染应急预案</w:t>
            </w:r>
          </w:p>
        </w:tc>
        <w:tc>
          <w:tcPr>
            <w:tcW w:w="412"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2</w:t>
            </w:r>
          </w:p>
        </w:tc>
        <w:tc>
          <w:tcPr>
            <w:tcW w:w="750"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center"/>
              <w:rPr>
                <w:rFonts w:hint="eastAsia" w:ascii="Times New Roman" w:hAnsi="Times New Roman" w:cs="宋体"/>
                <w:color w:val="000000"/>
                <w:kern w:val="0"/>
                <w:sz w:val="24"/>
                <w:szCs w:val="24"/>
              </w:rPr>
            </w:pPr>
          </w:p>
        </w:tc>
        <w:tc>
          <w:tcPr>
            <w:tcW w:w="763"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lef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定期组织开展应急演练</w:t>
            </w:r>
          </w:p>
        </w:tc>
        <w:tc>
          <w:tcPr>
            <w:tcW w:w="412"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4</w:t>
            </w:r>
          </w:p>
        </w:tc>
        <w:tc>
          <w:tcPr>
            <w:tcW w:w="750"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center"/>
              <w:rPr>
                <w:rFonts w:hint="eastAsia" w:ascii="Times New Roman" w:hAnsi="Times New Roman" w:cs="宋体"/>
                <w:color w:val="000000"/>
                <w:kern w:val="0"/>
                <w:sz w:val="24"/>
                <w:szCs w:val="24"/>
              </w:rPr>
            </w:pPr>
          </w:p>
        </w:tc>
        <w:tc>
          <w:tcPr>
            <w:tcW w:w="763" w:type="dxa"/>
            <w:tcBorders>
              <w:top w:val="single" w:color="auto" w:sz="4" w:space="0"/>
              <w:left w:val="single" w:color="auto" w:sz="4" w:space="0"/>
              <w:bottom w:val="single" w:color="auto" w:sz="4" w:space="0"/>
              <w:right w:val="single" w:color="auto" w:sz="4" w:space="0"/>
            </w:tcBorders>
            <w:noWrap w:val="0"/>
            <w:vAlign w:val="bottom"/>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restart"/>
            <w:tcBorders>
              <w:top w:val="single" w:color="auto" w:sz="4" w:space="0"/>
            </w:tcBorders>
            <w:noWrap w:val="0"/>
            <w:vAlign w:val="center"/>
          </w:tcPr>
          <w:p>
            <w:pPr>
              <w:widowControl/>
              <w:spacing w:line="360" w:lineRule="exact"/>
              <w:jc w:val="center"/>
              <w:rPr>
                <w:rFonts w:hint="eastAsia" w:ascii="Times New Roman" w:hAnsi="Times New Roman" w:cs="宋体"/>
                <w:b/>
                <w:bCs/>
                <w:color w:val="000000"/>
                <w:kern w:val="0"/>
                <w:sz w:val="24"/>
                <w:szCs w:val="24"/>
              </w:rPr>
            </w:pPr>
            <w:r>
              <w:rPr>
                <w:rFonts w:hint="eastAsia" w:ascii="Times New Roman" w:hAnsi="Times New Roman" w:cs="宋体"/>
                <w:b/>
                <w:bCs/>
                <w:color w:val="000000"/>
                <w:kern w:val="0"/>
                <w:sz w:val="24"/>
                <w:szCs w:val="24"/>
              </w:rPr>
              <w:t>安全监管</w:t>
            </w:r>
          </w:p>
          <w:p>
            <w:pPr>
              <w:widowControl/>
              <w:spacing w:line="360" w:lineRule="exact"/>
              <w:jc w:val="center"/>
              <w:rPr>
                <w:rFonts w:hint="eastAsia" w:ascii="Times New Roman" w:hAnsi="Times New Roman" w:cs="宋体"/>
                <w:b/>
                <w:bCs/>
                <w:color w:val="000000"/>
                <w:kern w:val="0"/>
                <w:sz w:val="24"/>
                <w:szCs w:val="24"/>
              </w:rPr>
            </w:pPr>
            <w:r>
              <w:rPr>
                <w:rFonts w:hint="eastAsia" w:ascii="Times New Roman" w:hAnsi="Times New Roman" w:cs="宋体"/>
                <w:b/>
                <w:bCs/>
                <w:color w:val="000000"/>
                <w:kern w:val="0"/>
                <w:sz w:val="24"/>
                <w:szCs w:val="24"/>
              </w:rPr>
              <w:t>（33分）</w:t>
            </w:r>
          </w:p>
        </w:tc>
        <w:tc>
          <w:tcPr>
            <w:tcW w:w="1200" w:type="dxa"/>
            <w:vMerge w:val="restart"/>
            <w:tcBorders>
              <w:top w:val="single" w:color="auto" w:sz="4" w:space="0"/>
            </w:tcBorders>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执法机构</w:t>
            </w:r>
          </w:p>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（7分）</w:t>
            </w:r>
          </w:p>
        </w:tc>
        <w:tc>
          <w:tcPr>
            <w:tcW w:w="4264" w:type="dxa"/>
            <w:tcBorders>
              <w:top w:val="single" w:color="auto" w:sz="4" w:space="0"/>
            </w:tcBorders>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港区设有渔港监督职能的机构及办公场所</w:t>
            </w:r>
          </w:p>
        </w:tc>
        <w:tc>
          <w:tcPr>
            <w:tcW w:w="412" w:type="dxa"/>
            <w:tcBorders>
              <w:top w:val="single" w:color="auto" w:sz="4" w:space="0"/>
            </w:tcBorders>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3</w:t>
            </w:r>
          </w:p>
        </w:tc>
        <w:tc>
          <w:tcPr>
            <w:tcW w:w="750" w:type="dxa"/>
            <w:tcBorders>
              <w:top w:val="single" w:color="auto" w:sz="4" w:space="0"/>
            </w:tcBorders>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tcBorders>
              <w:top w:val="single" w:color="auto" w:sz="4" w:space="0"/>
            </w:tcBorders>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工作人员配备齐全、职责明确</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2</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配备渔港监督船艇</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2</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restart"/>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渔船管理</w:t>
            </w:r>
          </w:p>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（8分）</w:t>
            </w: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船舶证书齐全有效</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2</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船舶标识规范</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2</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通讯导航设备齐全有效</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1</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救生设施设备齐全有效</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2</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消防设施设备齐全有效</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1</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restart"/>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船员管理</w:t>
            </w:r>
          </w:p>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（4分）</w:t>
            </w: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职务船员配备齐全、证书有效</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2</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普通船员证书齐全有效</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2</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restart"/>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事故隐患</w:t>
            </w:r>
          </w:p>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（6分）</w:t>
            </w: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近两年港区无较大以上安全事故</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2</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港区无渔船安全事故隐患</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2</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港区无消防事故隐患</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2</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restart"/>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社会治安</w:t>
            </w:r>
          </w:p>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（8分）</w:t>
            </w: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有明确的纠纷调处机构和人员</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2</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近两年港区内未发生群体性事件</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2</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近两年港区内未发生刑事案件</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2</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近两年港区内未发生重大社会治安事件</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2</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restart"/>
            <w:noWrap w:val="0"/>
            <w:vAlign w:val="center"/>
          </w:tcPr>
          <w:p>
            <w:pPr>
              <w:widowControl/>
              <w:spacing w:line="360" w:lineRule="exact"/>
              <w:jc w:val="center"/>
              <w:rPr>
                <w:rFonts w:hint="eastAsia" w:ascii="Times New Roman" w:hAnsi="Times New Roman" w:cs="宋体"/>
                <w:b/>
                <w:bCs/>
                <w:color w:val="000000"/>
                <w:kern w:val="0"/>
                <w:sz w:val="24"/>
                <w:szCs w:val="24"/>
              </w:rPr>
            </w:pPr>
            <w:r>
              <w:rPr>
                <w:rFonts w:hint="eastAsia" w:ascii="Times New Roman" w:hAnsi="Times New Roman" w:cs="宋体"/>
                <w:b/>
                <w:bCs/>
                <w:color w:val="000000"/>
                <w:kern w:val="0"/>
                <w:sz w:val="24"/>
                <w:szCs w:val="24"/>
              </w:rPr>
              <w:t>经营服务</w:t>
            </w:r>
          </w:p>
          <w:p>
            <w:pPr>
              <w:widowControl/>
              <w:spacing w:line="360" w:lineRule="exact"/>
              <w:jc w:val="center"/>
              <w:rPr>
                <w:rFonts w:hint="eastAsia" w:ascii="Times New Roman" w:hAnsi="Times New Roman" w:cs="宋体"/>
                <w:b/>
                <w:bCs/>
                <w:color w:val="000000"/>
                <w:kern w:val="0"/>
                <w:sz w:val="24"/>
                <w:szCs w:val="24"/>
              </w:rPr>
            </w:pPr>
            <w:r>
              <w:rPr>
                <w:rFonts w:hint="eastAsia" w:ascii="Times New Roman" w:hAnsi="Times New Roman" w:cs="宋体"/>
                <w:b/>
                <w:bCs/>
                <w:color w:val="000000"/>
                <w:kern w:val="0"/>
                <w:sz w:val="24"/>
                <w:szCs w:val="24"/>
              </w:rPr>
              <w:t>（34分）</w:t>
            </w:r>
          </w:p>
        </w:tc>
        <w:tc>
          <w:tcPr>
            <w:tcW w:w="1200" w:type="dxa"/>
            <w:vMerge w:val="restart"/>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管理机构</w:t>
            </w:r>
          </w:p>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（6分）</w:t>
            </w: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设有专门的渔港经营管理机构及办公场所</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4</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工作人员配备齐全、职责明确</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2</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restart"/>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渔港维护</w:t>
            </w:r>
          </w:p>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（6分）</w:t>
            </w: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有满足渔港日常维护需要的专项资金</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4</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渔港维修养护效果良好</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2</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restart"/>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渔船停靠</w:t>
            </w:r>
          </w:p>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（6分）</w:t>
            </w: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港内船舶停泊规范有序</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4</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船上有人员值班</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2</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restart"/>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后勤补给</w:t>
            </w:r>
          </w:p>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（6分）</w:t>
            </w: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供水、电、油、冰设备运行正常</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4</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水、电、油、冰供给便利</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2</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restart"/>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渔获交易</w:t>
            </w:r>
          </w:p>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（6分）</w:t>
            </w: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在港渔船装卸、运输渔货便利</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2</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有规范的水产品交易市场，交易规范有序便捷高效</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4</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群众评价</w:t>
            </w:r>
          </w:p>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（4分）</w:t>
            </w: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根据座谈或随访渔民群众实际反映情况酌情计分：满意（4分）；一般（2分）；不满意（0分）</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restart"/>
            <w:noWrap w:val="0"/>
            <w:vAlign w:val="center"/>
          </w:tcPr>
          <w:p>
            <w:pPr>
              <w:widowControl/>
              <w:spacing w:line="360" w:lineRule="exact"/>
              <w:jc w:val="center"/>
              <w:rPr>
                <w:rFonts w:hint="eastAsia" w:ascii="Times New Roman" w:hAnsi="Times New Roman" w:cs="宋体"/>
                <w:b/>
                <w:bCs/>
                <w:color w:val="000000"/>
                <w:kern w:val="0"/>
                <w:sz w:val="24"/>
                <w:szCs w:val="24"/>
              </w:rPr>
            </w:pPr>
            <w:r>
              <w:rPr>
                <w:rFonts w:hint="eastAsia" w:ascii="Times New Roman" w:hAnsi="Times New Roman" w:cs="宋体"/>
                <w:b/>
                <w:bCs/>
                <w:color w:val="000000"/>
                <w:kern w:val="0"/>
                <w:sz w:val="24"/>
                <w:szCs w:val="24"/>
              </w:rPr>
              <w:t>生态环境</w:t>
            </w:r>
          </w:p>
          <w:p>
            <w:pPr>
              <w:widowControl/>
              <w:spacing w:line="360" w:lineRule="exact"/>
              <w:jc w:val="center"/>
              <w:rPr>
                <w:rFonts w:hint="eastAsia" w:ascii="Times New Roman" w:hAnsi="Times New Roman" w:cs="宋体"/>
                <w:b/>
                <w:bCs/>
                <w:color w:val="000000"/>
                <w:kern w:val="0"/>
                <w:sz w:val="24"/>
                <w:szCs w:val="24"/>
              </w:rPr>
            </w:pPr>
            <w:r>
              <w:rPr>
                <w:rFonts w:hint="eastAsia" w:ascii="Times New Roman" w:hAnsi="Times New Roman" w:cs="宋体"/>
                <w:b/>
                <w:bCs/>
                <w:color w:val="000000"/>
                <w:kern w:val="0"/>
                <w:sz w:val="24"/>
                <w:szCs w:val="24"/>
              </w:rPr>
              <w:t>（28分）</w:t>
            </w:r>
          </w:p>
        </w:tc>
        <w:tc>
          <w:tcPr>
            <w:tcW w:w="1200" w:type="dxa"/>
            <w:vMerge w:val="restart"/>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陆域环境</w:t>
            </w:r>
          </w:p>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（7分）</w:t>
            </w: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港区整体清洁卫生，环境整洁</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3</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港区无垃圾、杂物堆弃</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2</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港区内无违章搭建</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2</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restart"/>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水域环境</w:t>
            </w:r>
          </w:p>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（5分）</w:t>
            </w: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水质良好</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2</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无油污或漂浮物（3分）；局部有污染、油污、漂浮物（2分或1分）；程度严重（0分）</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3</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restart"/>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污染防治</w:t>
            </w:r>
          </w:p>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（13分）</w:t>
            </w: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有渔船含油污水收集处理设施设备</w:t>
            </w:r>
          </w:p>
        </w:tc>
        <w:tc>
          <w:tcPr>
            <w:tcW w:w="412" w:type="dxa"/>
            <w:noWrap w:val="0"/>
            <w:vAlign w:val="center"/>
          </w:tcPr>
          <w:p>
            <w:pPr>
              <w:widowControl/>
              <w:spacing w:line="360" w:lineRule="exact"/>
              <w:jc w:val="center"/>
              <w:rPr>
                <w:rFonts w:ascii="Times New Roman" w:hAnsi="Times New Roman" w:cs="宋体"/>
                <w:color w:val="000000"/>
                <w:kern w:val="0"/>
                <w:sz w:val="24"/>
                <w:szCs w:val="24"/>
              </w:rPr>
            </w:pPr>
            <w:r>
              <w:rPr>
                <w:rFonts w:hint="eastAsia" w:ascii="Times New Roman" w:hAnsi="Times New Roman" w:cs="宋体"/>
                <w:color w:val="000000"/>
                <w:kern w:val="0"/>
                <w:sz w:val="24"/>
                <w:szCs w:val="24"/>
              </w:rPr>
              <w:t>1</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noWrap w:val="0"/>
            <w:vAlign w:val="center"/>
          </w:tcPr>
          <w:p>
            <w:pPr>
              <w:widowControl/>
              <w:spacing w:line="360" w:lineRule="exact"/>
              <w:jc w:val="center"/>
              <w:rPr>
                <w:rFonts w:hint="eastAsia" w:ascii="Times New Roman" w:hAnsi="Times New Roman" w:cs="宋体"/>
                <w:color w:val="000000"/>
                <w:kern w:val="0"/>
                <w:sz w:val="24"/>
                <w:szCs w:val="24"/>
              </w:rPr>
            </w:pP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有渔港卸货区及交易区污水收集设施</w:t>
            </w:r>
          </w:p>
        </w:tc>
        <w:tc>
          <w:tcPr>
            <w:tcW w:w="412" w:type="dxa"/>
            <w:noWrap w:val="0"/>
            <w:vAlign w:val="center"/>
          </w:tcPr>
          <w:p>
            <w:pPr>
              <w:widowControl/>
              <w:spacing w:line="360" w:lineRule="exact"/>
              <w:jc w:val="center"/>
              <w:rPr>
                <w:rFonts w:ascii="Times New Roman" w:hAnsi="Times New Roman" w:cs="宋体"/>
                <w:color w:val="000000"/>
                <w:kern w:val="0"/>
                <w:sz w:val="24"/>
                <w:szCs w:val="24"/>
              </w:rPr>
            </w:pPr>
            <w:r>
              <w:rPr>
                <w:rFonts w:hint="eastAsia" w:ascii="Times New Roman" w:hAnsi="Times New Roman" w:cs="宋体"/>
                <w:color w:val="000000"/>
                <w:kern w:val="0"/>
                <w:sz w:val="24"/>
                <w:szCs w:val="24"/>
              </w:rPr>
              <w:t>1</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noWrap w:val="0"/>
            <w:vAlign w:val="center"/>
          </w:tcPr>
          <w:p>
            <w:pPr>
              <w:widowControl/>
              <w:spacing w:line="360" w:lineRule="exact"/>
              <w:jc w:val="center"/>
              <w:rPr>
                <w:rFonts w:hint="eastAsia" w:ascii="Times New Roman" w:hAnsi="Times New Roman" w:cs="宋体"/>
                <w:color w:val="000000"/>
                <w:kern w:val="0"/>
                <w:sz w:val="24"/>
                <w:szCs w:val="24"/>
              </w:rPr>
            </w:pP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有渔港生活污水处理转运设施</w:t>
            </w:r>
          </w:p>
        </w:tc>
        <w:tc>
          <w:tcPr>
            <w:tcW w:w="412" w:type="dxa"/>
            <w:noWrap w:val="0"/>
            <w:vAlign w:val="center"/>
          </w:tcPr>
          <w:p>
            <w:pPr>
              <w:widowControl/>
              <w:spacing w:line="360" w:lineRule="exact"/>
              <w:jc w:val="center"/>
              <w:rPr>
                <w:rFonts w:ascii="Times New Roman" w:hAnsi="Times New Roman" w:cs="宋体"/>
                <w:color w:val="000000"/>
                <w:kern w:val="0"/>
                <w:sz w:val="24"/>
                <w:szCs w:val="24"/>
              </w:rPr>
            </w:pPr>
            <w:r>
              <w:rPr>
                <w:rFonts w:hint="eastAsia" w:ascii="Times New Roman" w:hAnsi="Times New Roman" w:cs="宋体"/>
                <w:color w:val="000000"/>
                <w:kern w:val="0"/>
                <w:sz w:val="24"/>
                <w:szCs w:val="24"/>
              </w:rPr>
              <w:t>1</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noWrap w:val="0"/>
            <w:vAlign w:val="center"/>
          </w:tcPr>
          <w:p>
            <w:pPr>
              <w:widowControl/>
              <w:spacing w:line="360" w:lineRule="exact"/>
              <w:jc w:val="center"/>
              <w:rPr>
                <w:rFonts w:hint="eastAsia" w:ascii="Times New Roman" w:hAnsi="Times New Roman" w:cs="宋体"/>
                <w:color w:val="000000"/>
                <w:kern w:val="0"/>
                <w:sz w:val="24"/>
                <w:szCs w:val="24"/>
              </w:rPr>
            </w:pP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有渔港固体垃圾收集处理设施设备</w:t>
            </w:r>
          </w:p>
        </w:tc>
        <w:tc>
          <w:tcPr>
            <w:tcW w:w="412" w:type="dxa"/>
            <w:noWrap w:val="0"/>
            <w:vAlign w:val="center"/>
          </w:tcPr>
          <w:p>
            <w:pPr>
              <w:widowControl/>
              <w:spacing w:line="360" w:lineRule="exact"/>
              <w:jc w:val="center"/>
              <w:rPr>
                <w:rFonts w:ascii="Times New Roman" w:hAnsi="Times New Roman" w:cs="宋体"/>
                <w:color w:val="000000"/>
                <w:kern w:val="0"/>
                <w:sz w:val="24"/>
                <w:szCs w:val="24"/>
              </w:rPr>
            </w:pPr>
            <w:r>
              <w:rPr>
                <w:rFonts w:hint="eastAsia" w:ascii="Times New Roman" w:hAnsi="Times New Roman" w:cs="宋体"/>
                <w:color w:val="000000"/>
                <w:kern w:val="0"/>
                <w:sz w:val="24"/>
                <w:szCs w:val="24"/>
              </w:rPr>
              <w:t>1</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noWrap w:val="0"/>
            <w:vAlign w:val="center"/>
          </w:tcPr>
          <w:p>
            <w:pPr>
              <w:widowControl/>
              <w:spacing w:line="360" w:lineRule="exact"/>
              <w:jc w:val="center"/>
              <w:rPr>
                <w:rFonts w:hint="eastAsia" w:ascii="Times New Roman" w:hAnsi="Times New Roman" w:cs="宋体"/>
                <w:color w:val="000000"/>
                <w:kern w:val="0"/>
                <w:sz w:val="24"/>
                <w:szCs w:val="24"/>
              </w:rPr>
            </w:pP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有渔港水域清污设备</w:t>
            </w:r>
          </w:p>
        </w:tc>
        <w:tc>
          <w:tcPr>
            <w:tcW w:w="412" w:type="dxa"/>
            <w:noWrap w:val="0"/>
            <w:vAlign w:val="center"/>
          </w:tcPr>
          <w:p>
            <w:pPr>
              <w:widowControl/>
              <w:spacing w:line="360" w:lineRule="exact"/>
              <w:jc w:val="center"/>
              <w:rPr>
                <w:rFonts w:ascii="Times New Roman" w:hAnsi="Times New Roman" w:cs="宋体"/>
                <w:color w:val="000000"/>
                <w:kern w:val="0"/>
                <w:sz w:val="24"/>
                <w:szCs w:val="24"/>
              </w:rPr>
            </w:pPr>
            <w:r>
              <w:rPr>
                <w:rFonts w:hint="eastAsia" w:ascii="Times New Roman" w:hAnsi="Times New Roman" w:cs="宋体"/>
                <w:color w:val="000000"/>
                <w:kern w:val="0"/>
                <w:sz w:val="24"/>
                <w:szCs w:val="24"/>
              </w:rPr>
              <w:t>1</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noWrap w:val="0"/>
            <w:vAlign w:val="center"/>
          </w:tcPr>
          <w:p>
            <w:pPr>
              <w:widowControl/>
              <w:spacing w:line="360" w:lineRule="exact"/>
              <w:jc w:val="center"/>
              <w:rPr>
                <w:rFonts w:hint="eastAsia" w:ascii="Times New Roman" w:hAnsi="Times New Roman" w:cs="宋体"/>
                <w:color w:val="000000"/>
                <w:kern w:val="0"/>
                <w:sz w:val="24"/>
                <w:szCs w:val="24"/>
              </w:rPr>
            </w:pP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有渔港污染防治应急设备</w:t>
            </w:r>
          </w:p>
        </w:tc>
        <w:tc>
          <w:tcPr>
            <w:tcW w:w="412" w:type="dxa"/>
            <w:noWrap w:val="0"/>
            <w:vAlign w:val="center"/>
          </w:tcPr>
          <w:p>
            <w:pPr>
              <w:widowControl/>
              <w:spacing w:line="360" w:lineRule="exact"/>
              <w:jc w:val="center"/>
              <w:rPr>
                <w:rFonts w:ascii="Times New Roman" w:hAnsi="Times New Roman" w:cs="宋体"/>
                <w:color w:val="000000"/>
                <w:kern w:val="0"/>
                <w:sz w:val="24"/>
                <w:szCs w:val="24"/>
              </w:rPr>
            </w:pPr>
            <w:r>
              <w:rPr>
                <w:rFonts w:hint="eastAsia" w:ascii="Times New Roman" w:hAnsi="Times New Roman" w:cs="宋体"/>
                <w:color w:val="000000"/>
                <w:kern w:val="0"/>
                <w:sz w:val="24"/>
                <w:szCs w:val="24"/>
              </w:rPr>
              <w:t>1</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noWrap w:val="0"/>
            <w:vAlign w:val="center"/>
          </w:tcPr>
          <w:p>
            <w:pPr>
              <w:widowControl/>
              <w:spacing w:line="360" w:lineRule="exact"/>
              <w:jc w:val="center"/>
              <w:rPr>
                <w:rFonts w:hint="eastAsia" w:ascii="Times New Roman" w:hAnsi="Times New Roman" w:cs="宋体"/>
                <w:color w:val="000000"/>
                <w:kern w:val="0"/>
                <w:sz w:val="24"/>
                <w:szCs w:val="24"/>
              </w:rPr>
            </w:pP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有渔港污染防治物资储存设施</w:t>
            </w:r>
          </w:p>
        </w:tc>
        <w:tc>
          <w:tcPr>
            <w:tcW w:w="412" w:type="dxa"/>
            <w:noWrap w:val="0"/>
            <w:vAlign w:val="center"/>
          </w:tcPr>
          <w:p>
            <w:pPr>
              <w:widowControl/>
              <w:spacing w:line="360" w:lineRule="exact"/>
              <w:jc w:val="center"/>
              <w:rPr>
                <w:rFonts w:ascii="Times New Roman" w:hAnsi="Times New Roman" w:cs="宋体"/>
                <w:color w:val="000000"/>
                <w:kern w:val="0"/>
                <w:sz w:val="24"/>
                <w:szCs w:val="24"/>
              </w:rPr>
            </w:pPr>
            <w:r>
              <w:rPr>
                <w:rFonts w:hint="eastAsia" w:ascii="Times New Roman" w:hAnsi="Times New Roman" w:cs="宋体"/>
                <w:color w:val="000000"/>
                <w:kern w:val="0"/>
                <w:sz w:val="24"/>
                <w:szCs w:val="24"/>
              </w:rPr>
              <w:t>1</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noWrap w:val="0"/>
            <w:vAlign w:val="center"/>
          </w:tcPr>
          <w:p>
            <w:pPr>
              <w:widowControl/>
              <w:spacing w:line="360" w:lineRule="exact"/>
              <w:jc w:val="center"/>
              <w:rPr>
                <w:rFonts w:hint="eastAsia" w:ascii="Times New Roman" w:hAnsi="Times New Roman" w:cs="宋体"/>
                <w:color w:val="000000"/>
                <w:kern w:val="0"/>
                <w:sz w:val="24"/>
                <w:szCs w:val="24"/>
              </w:rPr>
            </w:pP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有渔港污染防治宣传设施</w:t>
            </w:r>
          </w:p>
        </w:tc>
        <w:tc>
          <w:tcPr>
            <w:tcW w:w="412" w:type="dxa"/>
            <w:noWrap w:val="0"/>
            <w:vAlign w:val="center"/>
          </w:tcPr>
          <w:p>
            <w:pPr>
              <w:widowControl/>
              <w:spacing w:line="360" w:lineRule="exact"/>
              <w:jc w:val="center"/>
              <w:rPr>
                <w:rFonts w:ascii="Times New Roman" w:hAnsi="Times New Roman" w:cs="宋体"/>
                <w:color w:val="000000"/>
                <w:kern w:val="0"/>
                <w:sz w:val="24"/>
                <w:szCs w:val="24"/>
              </w:rPr>
            </w:pPr>
            <w:r>
              <w:rPr>
                <w:rFonts w:hint="eastAsia" w:ascii="Times New Roman" w:hAnsi="Times New Roman" w:cs="宋体"/>
                <w:color w:val="000000"/>
                <w:kern w:val="0"/>
                <w:sz w:val="24"/>
                <w:szCs w:val="24"/>
              </w:rPr>
              <w:t>1</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有专人从事防污清污和垃圾处理</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2</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vMerge w:val="continue"/>
            <w:noWrap w:val="0"/>
            <w:vAlign w:val="center"/>
          </w:tcPr>
          <w:p>
            <w:pPr>
              <w:widowControl/>
              <w:spacing w:line="360" w:lineRule="exact"/>
              <w:jc w:val="left"/>
              <w:rPr>
                <w:rFonts w:hint="eastAsia" w:ascii="Times New Roman" w:hAnsi="Times New Roman" w:cs="宋体"/>
                <w:color w:val="000000"/>
                <w:kern w:val="0"/>
                <w:sz w:val="24"/>
                <w:szCs w:val="24"/>
              </w:rPr>
            </w:pP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防污清污和垃圾处理工作效果良好</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3</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left"/>
              <w:rPr>
                <w:rFonts w:hint="eastAsia" w:ascii="Times New Roman" w:hAnsi="Times New Roman" w:cs="宋体"/>
                <w:b/>
                <w:bCs/>
                <w:color w:val="000000"/>
                <w:kern w:val="0"/>
                <w:sz w:val="24"/>
                <w:szCs w:val="24"/>
              </w:rPr>
            </w:pPr>
          </w:p>
        </w:tc>
        <w:tc>
          <w:tcPr>
            <w:tcW w:w="1200"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空气质量</w:t>
            </w:r>
          </w:p>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（3分）</w:t>
            </w:r>
          </w:p>
        </w:tc>
        <w:tc>
          <w:tcPr>
            <w:tcW w:w="4264" w:type="dxa"/>
            <w:noWrap w:val="0"/>
            <w:vAlign w:val="center"/>
          </w:tcPr>
          <w:p>
            <w:pPr>
              <w:widowControl/>
              <w:spacing w:line="360" w:lineRule="exac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无明显异味（3分）；有轻微或局部异味（2分或1分）；异味严重（0分）</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restart"/>
            <w:noWrap w:val="0"/>
            <w:vAlign w:val="center"/>
          </w:tcPr>
          <w:p>
            <w:pPr>
              <w:widowControl/>
              <w:spacing w:line="360" w:lineRule="exact"/>
              <w:jc w:val="center"/>
              <w:rPr>
                <w:rFonts w:hint="eastAsia" w:ascii="Times New Roman" w:hAnsi="Times New Roman" w:cs="宋体"/>
                <w:b/>
                <w:bCs/>
                <w:color w:val="000000"/>
                <w:kern w:val="0"/>
                <w:sz w:val="24"/>
                <w:szCs w:val="24"/>
              </w:rPr>
            </w:pPr>
            <w:r>
              <w:rPr>
                <w:rFonts w:hint="eastAsia" w:ascii="Times New Roman" w:hAnsi="Times New Roman" w:cs="宋体"/>
                <w:b/>
                <w:bCs/>
                <w:color w:val="000000"/>
                <w:kern w:val="0"/>
                <w:sz w:val="24"/>
                <w:szCs w:val="24"/>
              </w:rPr>
              <w:t>附加项</w:t>
            </w:r>
          </w:p>
        </w:tc>
        <w:tc>
          <w:tcPr>
            <w:tcW w:w="1200"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加分项</w:t>
            </w:r>
          </w:p>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（8分）</w:t>
            </w:r>
          </w:p>
        </w:tc>
        <w:tc>
          <w:tcPr>
            <w:tcW w:w="4264" w:type="dxa"/>
            <w:noWrap w:val="0"/>
            <w:vAlign w:val="center"/>
          </w:tcPr>
          <w:p>
            <w:pPr>
              <w:widowControl/>
              <w:spacing w:line="360" w:lineRule="exact"/>
              <w:jc w:val="lef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在渔港综合管理和服务、拓展渔港新功能、促进一二三产业融合发展、渔港经济区建设等方面有创新或者突出成效的可酌情加分，并提供书面依据材料。</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4" w:type="dxa"/>
            <w:vMerge w:val="continue"/>
            <w:noWrap w:val="0"/>
            <w:vAlign w:val="center"/>
          </w:tcPr>
          <w:p>
            <w:pPr>
              <w:widowControl/>
              <w:spacing w:line="360" w:lineRule="exact"/>
              <w:jc w:val="center"/>
              <w:rPr>
                <w:rFonts w:hint="eastAsia" w:ascii="Times New Roman" w:hAnsi="Times New Roman" w:cs="宋体"/>
                <w:color w:val="000000"/>
                <w:kern w:val="0"/>
                <w:sz w:val="24"/>
                <w:szCs w:val="24"/>
              </w:rPr>
            </w:pPr>
          </w:p>
        </w:tc>
        <w:tc>
          <w:tcPr>
            <w:tcW w:w="1200" w:type="dxa"/>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否决项</w:t>
            </w:r>
          </w:p>
        </w:tc>
        <w:tc>
          <w:tcPr>
            <w:tcW w:w="4264" w:type="dxa"/>
            <w:noWrap w:val="0"/>
            <w:vAlign w:val="center"/>
          </w:tcPr>
          <w:p>
            <w:pPr>
              <w:widowControl/>
              <w:spacing w:line="360" w:lineRule="exact"/>
              <w:jc w:val="left"/>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两年内发生过较大及以上渔业船舶水上安全事故航次所对应的最后靠泊港。</w:t>
            </w:r>
          </w:p>
        </w:tc>
        <w:tc>
          <w:tcPr>
            <w:tcW w:w="412"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070" w:type="dxa"/>
            <w:gridSpan w:val="4"/>
            <w:noWrap w:val="0"/>
            <w:vAlign w:val="center"/>
          </w:tcPr>
          <w:p>
            <w:pPr>
              <w:widowControl/>
              <w:spacing w:line="360" w:lineRule="exact"/>
              <w:jc w:val="center"/>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合计</w:t>
            </w:r>
          </w:p>
        </w:tc>
        <w:tc>
          <w:tcPr>
            <w:tcW w:w="750" w:type="dxa"/>
            <w:noWrap w:val="0"/>
            <w:vAlign w:val="center"/>
          </w:tcPr>
          <w:p>
            <w:pPr>
              <w:widowControl/>
              <w:spacing w:line="360" w:lineRule="exact"/>
              <w:jc w:val="center"/>
              <w:rPr>
                <w:rFonts w:hint="eastAsia" w:ascii="Times New Roman" w:hAnsi="Times New Roman" w:cs="宋体"/>
                <w:color w:val="000000"/>
                <w:kern w:val="0"/>
                <w:sz w:val="24"/>
                <w:szCs w:val="24"/>
              </w:rPr>
            </w:pPr>
          </w:p>
        </w:tc>
        <w:tc>
          <w:tcPr>
            <w:tcW w:w="763" w:type="dxa"/>
            <w:noWrap w:val="0"/>
            <w:vAlign w:val="center"/>
          </w:tcPr>
          <w:p>
            <w:pPr>
              <w:widowControl/>
              <w:spacing w:line="360" w:lineRule="exact"/>
              <w:jc w:val="center"/>
              <w:rPr>
                <w:rFonts w:hint="eastAsia" w:ascii="Times New Roman" w:hAnsi="Times New Roman" w:cs="宋体"/>
                <w:color w:val="000000"/>
                <w:kern w:val="0"/>
                <w:sz w:val="24"/>
                <w:szCs w:val="24"/>
              </w:rPr>
            </w:pPr>
          </w:p>
        </w:tc>
      </w:tr>
    </w:tbl>
    <w:p>
      <w:pPr>
        <w:widowControl/>
        <w:jc w:val="left"/>
        <w:rPr>
          <w:rFonts w:ascii="Times New Roman" w:hAnsi="Times New Roman" w:eastAsia="黑体"/>
          <w:color w:val="000000"/>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4MThjZjA5ODE4NzE2NzU4YjM1M2I1MzRhNWY5NzkifQ=="/>
  </w:docVars>
  <w:rsids>
    <w:rsidRoot w:val="071D3588"/>
    <w:rsid w:val="071D35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Cambria" w:hAnsi="Cambria"/>
      <w:b/>
      <w:bCs/>
      <w:sz w:val="32"/>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2023-04-03T07:45:00Z</dcterms:created>
  <dc:creator>Administrator</dc:creator>
  <cp:lastModifiedBy>Administrator</cp:lastModifiedBy>
  <dcterms:modified xsi:type="dcterms:W3CDTF">2023-04-03T07:46:11Z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5DBB8708340641F58BD66F3460797FC1_11</vt:lpwstr>
  </property>
</Properties>
</file>